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1200" w:lineRule="exact"/>
        <w:rPr>
          <w:rFonts w:hint="eastAsia" w:ascii="方正大标宋简体" w:eastAsia="方正大标宋简体"/>
          <w:color w:val="FF0000"/>
          <w:sz w:val="66"/>
          <w:szCs w:val="66"/>
        </w:rPr>
      </w:pPr>
    </w:p>
    <w:p>
      <w:pPr>
        <w:jc w:val="center"/>
        <w:rPr>
          <w:rFonts w:hint="eastAsia" w:ascii="方正小标宋简体" w:eastAsia="方正小标宋简体"/>
          <w:color w:val="FF0000"/>
          <w:sz w:val="140"/>
          <w:szCs w:val="140"/>
        </w:rPr>
      </w:pPr>
      <w:r>
        <w:rPr>
          <w:rFonts w:hint="eastAsia" w:ascii="方正小标宋简体" w:eastAsia="方正小标宋简体"/>
          <w:color w:val="FF0000"/>
          <w:sz w:val="134"/>
          <w:szCs w:val="134"/>
        </w:rPr>
        <w:t>督</w:t>
      </w:r>
      <w:r>
        <w:rPr>
          <w:rFonts w:hint="eastAsia" w:ascii="方正小标宋简体" w:eastAsia="方正小标宋简体"/>
          <w:color w:val="FF0000"/>
          <w:sz w:val="110"/>
          <w:szCs w:val="110"/>
        </w:rPr>
        <w:t xml:space="preserve"> </w:t>
      </w:r>
      <w:r>
        <w:rPr>
          <w:rFonts w:hint="eastAsia" w:ascii="方正小标宋简体" w:eastAsia="方正小标宋简体"/>
          <w:color w:val="FF0000"/>
          <w:sz w:val="134"/>
          <w:szCs w:val="134"/>
        </w:rPr>
        <w:t>查</w:t>
      </w:r>
      <w:r>
        <w:rPr>
          <w:rFonts w:hint="eastAsia" w:ascii="方正小标宋简体" w:eastAsia="方正小标宋简体"/>
          <w:color w:val="FF0000"/>
          <w:sz w:val="110"/>
          <w:szCs w:val="110"/>
        </w:rPr>
        <w:t xml:space="preserve"> </w:t>
      </w:r>
      <w:r>
        <w:rPr>
          <w:rFonts w:hint="eastAsia" w:ascii="方正小标宋简体" w:eastAsia="方正小标宋简体"/>
          <w:color w:val="FF0000"/>
          <w:sz w:val="134"/>
          <w:szCs w:val="134"/>
        </w:rPr>
        <w:t>通</w:t>
      </w:r>
      <w:r>
        <w:rPr>
          <w:rFonts w:hint="eastAsia" w:ascii="方正小标宋简体" w:eastAsia="方正小标宋简体"/>
          <w:color w:val="FF0000"/>
          <w:sz w:val="110"/>
          <w:szCs w:val="110"/>
        </w:rPr>
        <w:t xml:space="preserve"> </w:t>
      </w:r>
      <w:r>
        <w:rPr>
          <w:rFonts w:hint="eastAsia" w:ascii="方正小标宋简体" w:eastAsia="方正小标宋简体"/>
          <w:color w:val="FF0000"/>
          <w:sz w:val="134"/>
          <w:szCs w:val="134"/>
        </w:rPr>
        <w:t>知</w:t>
      </w:r>
    </w:p>
    <w:tbl>
      <w:tblPr>
        <w:tblStyle w:val="7"/>
        <w:tblW w:w="87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1077" w:hRule="atLeast"/>
        </w:trPr>
        <w:tc>
          <w:tcPr>
            <w:tcW w:w="8777" w:type="dxa"/>
            <w:tcBorders>
              <w:top w:val="nil"/>
              <w:left w:val="nil"/>
              <w:bottom w:val="single" w:color="FF0000" w:sz="12" w:space="0"/>
              <w:right w:val="nil"/>
            </w:tcBorders>
            <w:vAlign w:val="top"/>
          </w:tcPr>
          <w:p>
            <w:pPr>
              <w:snapToGrid w:val="0"/>
              <w:spacing w:line="360" w:lineRule="exact"/>
              <w:ind w:right="155" w:rightChars="74"/>
              <w:jc w:val="center"/>
              <w:rPr>
                <w:rFonts w:hint="eastAsia" w:ascii="方正大标宋简体" w:eastAsia="方正大标宋简体"/>
                <w:color w:val="C0C0C0"/>
                <w:sz w:val="32"/>
                <w:szCs w:val="32"/>
              </w:rPr>
            </w:pPr>
          </w:p>
          <w:p>
            <w:pPr>
              <w:ind w:right="155" w:rightChars="74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濮督查〔201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eastAsia="仿宋_GB2312"/>
                <w:sz w:val="32"/>
                <w:szCs w:val="32"/>
              </w:rPr>
              <w:t>〕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79</w:t>
            </w:r>
            <w:r>
              <w:rPr>
                <w:rFonts w:eastAsia="仿宋_GB2312"/>
                <w:sz w:val="32"/>
                <w:szCs w:val="32"/>
              </w:rPr>
              <w:t>号</w:t>
            </w:r>
          </w:p>
        </w:tc>
      </w:tr>
    </w:tbl>
    <w:p>
      <w:pPr>
        <w:snapToGrid w:val="0"/>
        <w:jc w:val="center"/>
        <w:rPr>
          <w:rFonts w:hint="eastAsia" w:ascii="仿宋_GB2312" w:eastAsia="仿宋_GB2312"/>
          <w:color w:val="C0C0C0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C0C0C0"/>
          <w:sz w:val="32"/>
          <w:szCs w:val="32"/>
        </w:rPr>
      </w:pPr>
    </w:p>
    <w:p>
      <w:pPr>
        <w:snapToGrid w:val="0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关于报送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2016年度市直单位重点工作台账及政府责任目标的通知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市直各单位:</w:t>
      </w:r>
    </w:p>
    <w:p>
      <w:pPr>
        <w:ind w:left="0" w:leftChars="0" w:firstLine="64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为科学制定201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市直单位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重点工作台账和政府责任目标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（纳入市政府责任目标管理的单位）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现将有关事项</w:t>
      </w:r>
      <w:r>
        <w:rPr>
          <w:rFonts w:hint="eastAsia" w:ascii="仿宋_GB2312" w:hAnsi="仿宋_GB2312" w:eastAsia="仿宋_GB2312" w:cs="仿宋_GB2312"/>
          <w:sz w:val="32"/>
          <w:szCs w:val="32"/>
        </w:rPr>
        <w:t>通知如下：</w:t>
      </w:r>
    </w:p>
    <w:p>
      <w:pPr>
        <w:numPr>
          <w:ilvl w:val="0"/>
          <w:numId w:val="0"/>
        </w:numPr>
        <w:ind w:left="0" w:leftChars="0" w:firstLine="64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一、主要内容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市直单位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重点工作台账和政府责任目标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主要内容为：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市委经济工作会议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政府工作报告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中确定的重点工作；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省主管部门确定的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重点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工作目标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3.本单位年度工作会议明确的重要事项；4.</w:t>
      </w:r>
      <w:r>
        <w:rPr>
          <w:rFonts w:hint="eastAsia" w:ascii="仿宋_GB2312" w:hAnsi="仿宋_GB2312" w:eastAsia="仿宋_GB2312" w:cs="仿宋_GB2312"/>
          <w:sz w:val="32"/>
          <w:szCs w:val="32"/>
        </w:rPr>
        <w:t>本单位主要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职能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工作。</w:t>
      </w:r>
    </w:p>
    <w:p>
      <w:pPr>
        <w:numPr>
          <w:ilvl w:val="0"/>
          <w:numId w:val="0"/>
        </w:numPr>
        <w:ind w:left="0" w:leftChars="0" w:firstLine="64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二、工作要求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列入市直各单位重点工作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台账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的目标任务</w:t>
      </w:r>
      <w:r>
        <w:rPr>
          <w:rFonts w:hint="eastAsia" w:ascii="仿宋_GB2312" w:hAnsi="仿宋_GB2312" w:eastAsia="仿宋_GB2312" w:cs="仿宋_GB2312"/>
          <w:sz w:val="32"/>
          <w:szCs w:val="32"/>
        </w:rPr>
        <w:t>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体现赶超发展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，和去年比要体现增量，并力争在全省系统内位居第一方阵，工作目标</w:t>
      </w:r>
      <w:r>
        <w:rPr>
          <w:rFonts w:hint="eastAsia" w:ascii="仿宋_GB2312" w:hAnsi="仿宋_GB2312" w:eastAsia="仿宋_GB2312" w:cs="仿宋_GB2312"/>
          <w:sz w:val="32"/>
          <w:szCs w:val="32"/>
        </w:rPr>
        <w:t>时间节点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要</w:t>
      </w:r>
      <w:r>
        <w:rPr>
          <w:rFonts w:hint="eastAsia" w:ascii="仿宋_GB2312" w:hAnsi="仿宋_GB2312" w:eastAsia="仿宋_GB2312" w:cs="仿宋_GB2312"/>
          <w:sz w:val="32"/>
          <w:szCs w:val="32"/>
        </w:rPr>
        <w:t>具体到月。其中，市委、市政府有时限要求的，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各单位申报的</w:t>
      </w:r>
      <w:r>
        <w:rPr>
          <w:rFonts w:hint="eastAsia" w:ascii="仿宋_GB2312" w:hAnsi="仿宋_GB2312" w:eastAsia="仿宋_GB2312" w:cs="仿宋_GB2312"/>
          <w:sz w:val="32"/>
          <w:szCs w:val="32"/>
        </w:rPr>
        <w:t>时间节点时只能按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期</w:t>
      </w:r>
      <w:r>
        <w:rPr>
          <w:rFonts w:hint="eastAsia" w:ascii="仿宋_GB2312" w:hAnsi="仿宋_GB2312" w:eastAsia="仿宋_GB2312" w:cs="仿宋_GB2312"/>
          <w:sz w:val="32"/>
          <w:szCs w:val="32"/>
        </w:rPr>
        <w:t>或提前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left="0" w:leftChars="0" w:firstLine="64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三、按时报送。</w:t>
      </w:r>
      <w:r>
        <w:rPr>
          <w:rFonts w:hint="eastAsia" w:ascii="仿宋_GB2312" w:hAnsi="仿宋_GB2312" w:eastAsia="仿宋_GB2312" w:cs="仿宋_GB2312"/>
          <w:sz w:val="32"/>
          <w:szCs w:val="32"/>
        </w:rPr>
        <w:t>各单位要按照要求，抓紧研究制定本单位201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年重点工作台账和政府责任目标方案，于201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日前以正式文件（附电子版）报市委市政府督查局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目标办及相关联系</w:t>
      </w:r>
      <w:r>
        <w:rPr>
          <w:rFonts w:hint="eastAsia" w:ascii="仿宋_GB2312" w:hAnsi="仿宋_GB2312" w:eastAsia="仿宋_GB2312" w:cs="仿宋_GB2312"/>
          <w:sz w:val="32"/>
          <w:szCs w:val="32"/>
        </w:rPr>
        <w:t>科室。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史清川</w:t>
      </w:r>
      <w:r>
        <w:rPr>
          <w:rFonts w:hint="eastAsia" w:ascii="仿宋_GB2312" w:hAnsi="仿宋_GB2312" w:eastAsia="仿宋_GB2312" w:cs="仿宋_GB2312"/>
          <w:sz w:val="32"/>
          <w:szCs w:val="32"/>
        </w:rPr>
        <w:t>，电话：6666156。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方正小标宋简体" w:eastAsia="方正小标宋简体"/>
          <w:color w:val="C0C0C0"/>
          <w:sz w:val="32"/>
          <w:szCs w:val="32"/>
        </w:rPr>
      </w:pPr>
      <w:r>
        <w:rPr>
          <w:lang w:val="zh-CN"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99060</wp:posOffset>
            </wp:positionV>
            <wp:extent cx="1371600" cy="1371600"/>
            <wp:effectExtent l="0" t="0" r="0" b="0"/>
            <wp:wrapNone/>
            <wp:docPr id="1" name="图片 1" descr="督查专用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督查专用章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anchor>
        </w:drawing>
      </w:r>
    </w:p>
    <w:p>
      <w:pPr>
        <w:ind w:right="155" w:rightChars="74"/>
        <w:jc w:val="center"/>
        <w:rPr>
          <w:rFonts w:hint="eastAsia" w:eastAsia="仿宋_GB2312"/>
          <w:sz w:val="32"/>
          <w:szCs w:val="32"/>
        </w:rPr>
      </w:pPr>
    </w:p>
    <w:p>
      <w:pPr>
        <w:ind w:right="155" w:rightChars="74"/>
        <w:jc w:val="center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       201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hint="eastAsia"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3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2</w:t>
      </w:r>
      <w:r>
        <w:rPr>
          <w:rFonts w:hint="eastAsia" w:eastAsia="仿宋_GB2312"/>
          <w:sz w:val="32"/>
          <w:szCs w:val="32"/>
        </w:rPr>
        <w:t>日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701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方正大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微软雅黑">
    <w:panose1 w:val="020B0503020204020204"/>
    <w:charset w:val="86"/>
    <w:family w:val="script"/>
    <w:pitch w:val="default"/>
    <w:sig w:usb0="80000287" w:usb1="280F3C52" w:usb2="00000016" w:usb3="00000000" w:csb0="0004001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Lucida Sans Unicode">
    <w:panose1 w:val="020B0602030504020204"/>
    <w:charset w:val="00"/>
    <w:family w:val="decorative"/>
    <w:pitch w:val="default"/>
    <w:sig w:usb0="80001AFF" w:usb1="0000396B" w:usb2="00000000" w:usb3="00000000" w:csb0="200000BF" w:csb1="D7F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Lucida Sans Unicode">
    <w:panose1 w:val="020B0602030504020204"/>
    <w:charset w:val="00"/>
    <w:family w:val="roman"/>
    <w:pitch w:val="default"/>
    <w:sig w:usb0="80001AFF" w:usb1="0000396B" w:usb2="00000000" w:usb3="00000000" w:csb0="200000BF" w:csb1="D7F70000"/>
  </w:font>
  <w:font w:name="Lucida Sans Unicode">
    <w:panose1 w:val="020B0602030504020204"/>
    <w:charset w:val="00"/>
    <w:family w:val="modern"/>
    <w:pitch w:val="default"/>
    <w:sig w:usb0="80001AFF" w:usb1="0000396B" w:usb2="00000000" w:usb3="00000000" w:csb0="200000BF" w:csb1="D7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cript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  <w:jc w:val="right"/>
      <w:rPr>
        <w:rFonts w:hint="eastAsia"/>
        <w:sz w:val="28"/>
        <w:szCs w:val="28"/>
      </w:rPr>
    </w:pPr>
    <w:r>
      <w:rPr>
        <w:sz w:val="28"/>
        <w:szCs w:val="28"/>
      </w:rPr>
      <w:tab/>
    </w:r>
    <w:r>
      <w:rPr>
        <w:rFonts w:hint="eastAsia"/>
        <w:sz w:val="28"/>
        <w:szCs w:val="28"/>
      </w:rPr>
      <w:t>—</w:t>
    </w:r>
    <w:r>
      <w:rPr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 w:eastAsia="zh-CN"/>
      </w:rPr>
      <w:t>1</w:t>
    </w:r>
    <w:r>
      <w:rPr>
        <w:sz w:val="28"/>
        <w:szCs w:val="28"/>
      </w:rPr>
      <w:fldChar w:fldCharType="end"/>
    </w:r>
    <w:r>
      <w:rPr>
        <w:sz w:val="28"/>
        <w:szCs w:val="28"/>
      </w:rPr>
      <w:t xml:space="preserve"> </w:t>
    </w:r>
    <w:r>
      <w:rPr>
        <w:rFonts w:hint="eastAsia"/>
        <w:sz w:val="28"/>
        <w:szCs w:val="28"/>
      </w:rPr>
      <w:t xml:space="preserve">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  <w:rPr>
        <w:rFonts w:hint="eastAsia"/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  <w:lang w:val="zh-CN" w:eastAsia="zh-CN"/>
      </w:rPr>
      <w:t>2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hyphenationZone w:val="36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3F16E3"/>
    <w:rsid w:val="000A7989"/>
    <w:rsid w:val="00195E1A"/>
    <w:rsid w:val="00293950"/>
    <w:rsid w:val="0031159B"/>
    <w:rsid w:val="00373250"/>
    <w:rsid w:val="003D461C"/>
    <w:rsid w:val="003E4974"/>
    <w:rsid w:val="003F4647"/>
    <w:rsid w:val="00466C4F"/>
    <w:rsid w:val="004A07B3"/>
    <w:rsid w:val="004B23FC"/>
    <w:rsid w:val="004F7452"/>
    <w:rsid w:val="005A46D1"/>
    <w:rsid w:val="00623CD6"/>
    <w:rsid w:val="007A3F9E"/>
    <w:rsid w:val="00871F82"/>
    <w:rsid w:val="008E1EC7"/>
    <w:rsid w:val="0092680A"/>
    <w:rsid w:val="0093283E"/>
    <w:rsid w:val="009825C4"/>
    <w:rsid w:val="009C3F7A"/>
    <w:rsid w:val="00A23C95"/>
    <w:rsid w:val="00B36374"/>
    <w:rsid w:val="00B700E9"/>
    <w:rsid w:val="00BF74EC"/>
    <w:rsid w:val="00F75493"/>
    <w:rsid w:val="083F16E3"/>
    <w:rsid w:val="1DCA77EF"/>
    <w:rsid w:val="609A7C62"/>
    <w:rsid w:val="6CF7269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36890;&#25253;&#12289;&#19987;&#25253;&#27169;&#26495;&#65292;&#35831;&#21508;&#23460;&#25353;&#27492;&#26684;&#24335;&#36816;&#36716;&#31283;&#20581;&#65292;&#19981;&#35201;&#25797;&#33258;&#21160;&#26684;&#24335;&#65292;&#35874;&#35874;\&#30563;&#26597;&#36890;&#30693;&#27169;&#26495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督查通知模板.dot</Template>
  <Pages>2</Pages>
  <Words>19</Words>
  <Characters>25</Characters>
  <Lines>1</Lines>
  <Paragraphs>1</Paragraphs>
  <ScaleCrop>false</ScaleCrop>
  <LinksUpToDate>false</LinksUpToDate>
  <CharactersWithSpaces>94</CharactersWithSpaces>
  <Application>WPS Office_10.1.0.5457_F1E327BC-269C-435d-A152-05C5408002CA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2016-03-02T09:24:00Z</dcterms:created>
  <dc:creator>Administrator</dc:creator>
  <cp:lastModifiedBy>Administrator</cp:lastModifiedBy>
  <dcterms:modified xsi:type="dcterms:W3CDTF">2016-03-02T09:49:11Z</dcterms:modified>
  <dc:title>督 查 通 知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